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57081" w:rsidRPr="00957081" w:rsidRDefault="00B17AB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Lent Devotionals – Day 5</w:t>
      </w:r>
    </w:p>
    <w:p w:rsidR="009E4C01" w:rsidRDefault="00AF5139" w:rsidP="0095708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Fasting Challenge:  Television &amp; Movies</w:t>
      </w:r>
    </w:p>
    <w:p w:rsidR="00420937" w:rsidRDefault="00420937" w:rsidP="0095708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="00AF5139">
        <w:rPr>
          <w:rFonts w:ascii="Century Gothic" w:hAnsi="Century Gothic"/>
        </w:rPr>
        <w:t>cripture Reading</w:t>
      </w:r>
      <w:r w:rsidR="008D00F6">
        <w:rPr>
          <w:rFonts w:ascii="Century Gothic" w:hAnsi="Century Gothic"/>
        </w:rPr>
        <w:t xml:space="preserve">:  </w:t>
      </w:r>
      <w:r w:rsidR="00AF5139">
        <w:rPr>
          <w:rFonts w:ascii="Century Gothic" w:hAnsi="Century Gothic"/>
        </w:rPr>
        <w:t>Psalms 121</w:t>
      </w:r>
    </w:p>
    <w:p w:rsidR="00AF5139" w:rsidRDefault="00AF5139" w:rsidP="0095708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Supplemental Readings:  Psalm 120-134  </w:t>
      </w:r>
    </w:p>
    <w:p w:rsidR="00957081" w:rsidRDefault="001C7CB2" w:rsidP="0095708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Prayer Emphasis: </w:t>
      </w:r>
      <w:r w:rsidR="00AF5139">
        <w:rPr>
          <w:rFonts w:ascii="Century Gothic" w:hAnsi="Century Gothic"/>
        </w:rPr>
        <w:t xml:space="preserve"> Hope &amp; Joy</w:t>
      </w:r>
    </w:p>
    <w:p w:rsidR="00957081" w:rsidRDefault="00957081" w:rsidP="00957081">
      <w:pPr>
        <w:spacing w:after="0"/>
        <w:rPr>
          <w:rFonts w:ascii="Century Gothic" w:hAnsi="Century Gothic"/>
        </w:rPr>
      </w:pPr>
    </w:p>
    <w:p w:rsidR="00420937" w:rsidRDefault="00054DAA" w:rsidP="00054DAA">
      <w:pPr>
        <w:tabs>
          <w:tab w:val="left" w:pos="2880"/>
        </w:tabs>
        <w:spacing w:after="0"/>
        <w:jc w:val="center"/>
        <w:rPr>
          <w:rFonts w:ascii="Century Gothic" w:hAnsi="Century Gothic"/>
          <w:i/>
        </w:rPr>
      </w:pPr>
      <w:r>
        <w:rPr>
          <w:rFonts w:ascii="Century Gothic" w:hAnsi="Century Gothic"/>
        </w:rPr>
        <w:t>“</w:t>
      </w:r>
      <w:r w:rsidR="00B17AB9">
        <w:rPr>
          <w:rFonts w:ascii="Century Gothic" w:hAnsi="Century Gothic" w:cs="Arial"/>
          <w:i/>
          <w:color w:val="09131F"/>
          <w:szCs w:val="30"/>
        </w:rPr>
        <w:t>I lift up my eyes to the hills – where does my help come from?  My help comes from the Lord the Maker of heaven and earth</w:t>
      </w:r>
      <w:r w:rsidR="00897414">
        <w:rPr>
          <w:rFonts w:ascii="Century Gothic" w:hAnsi="Century Gothic" w:cs="Arial"/>
          <w:color w:val="09131F"/>
          <w:sz w:val="20"/>
          <w:szCs w:val="30"/>
        </w:rPr>
        <w:t>..</w:t>
      </w:r>
      <w:r w:rsidR="00420937" w:rsidRPr="00897414">
        <w:rPr>
          <w:rFonts w:ascii="Century Gothic" w:hAnsi="Century Gothic"/>
          <w:i/>
          <w:sz w:val="20"/>
        </w:rPr>
        <w:t>.”</w:t>
      </w:r>
      <w:r w:rsidR="00420937">
        <w:rPr>
          <w:rFonts w:ascii="Century Gothic" w:hAnsi="Century Gothic"/>
          <w:i/>
        </w:rPr>
        <w:t xml:space="preserve"> </w:t>
      </w:r>
    </w:p>
    <w:p w:rsidR="00054DAA" w:rsidRPr="00054DAA" w:rsidRDefault="00B17AB9" w:rsidP="00054DAA">
      <w:pPr>
        <w:tabs>
          <w:tab w:val="left" w:pos="2880"/>
        </w:tabs>
        <w:spacing w:after="0"/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(Psalm 121</w:t>
      </w:r>
      <w:r w:rsidR="00420937">
        <w:rPr>
          <w:rFonts w:ascii="Century Gothic" w:hAnsi="Century Gothic"/>
          <w:i/>
        </w:rPr>
        <w:t>:</w:t>
      </w:r>
      <w:r w:rsidR="00567B46">
        <w:rPr>
          <w:rFonts w:ascii="Century Gothic" w:hAnsi="Century Gothic"/>
          <w:i/>
        </w:rPr>
        <w:t>1-2</w:t>
      </w:r>
      <w:r w:rsidR="00054DAA">
        <w:rPr>
          <w:rFonts w:ascii="Century Gothic" w:hAnsi="Century Gothic"/>
          <w:i/>
        </w:rPr>
        <w:t>)</w:t>
      </w:r>
    </w:p>
    <w:p w:rsidR="00054DAA" w:rsidRDefault="00054DAA" w:rsidP="00054DAA">
      <w:pPr>
        <w:tabs>
          <w:tab w:val="left" w:pos="2880"/>
        </w:tabs>
        <w:spacing w:after="0"/>
        <w:rPr>
          <w:rFonts w:ascii="Century Gothic" w:hAnsi="Century Gothic"/>
          <w:u w:val="single"/>
        </w:rPr>
      </w:pPr>
    </w:p>
    <w:p w:rsidR="00705197" w:rsidRDefault="00957081" w:rsidP="00705197">
      <w:pPr>
        <w:tabs>
          <w:tab w:val="left" w:pos="2880"/>
        </w:tabs>
        <w:spacing w:after="0"/>
        <w:rPr>
          <w:rFonts w:ascii="Century Gothic" w:hAnsi="Century Gothic" w:cs="Arial"/>
          <w:bCs/>
          <w:i/>
          <w:szCs w:val="32"/>
          <w:u w:val="single"/>
        </w:rPr>
      </w:pPr>
      <w:r w:rsidRPr="00600B31">
        <w:rPr>
          <w:rFonts w:ascii="Century Gothic" w:hAnsi="Century Gothic"/>
          <w:u w:val="single"/>
        </w:rPr>
        <w:t>Devotional Thought:</w:t>
      </w:r>
      <w:r w:rsidR="00600B31">
        <w:rPr>
          <w:rFonts w:ascii="Century Gothic" w:hAnsi="Century Gothic"/>
        </w:rPr>
        <w:t xml:space="preserve">  </w:t>
      </w:r>
      <w:r w:rsidR="0031471F">
        <w:rPr>
          <w:rFonts w:ascii="Century Gothic" w:hAnsi="Century Gothic"/>
        </w:rPr>
        <w:t>This week we begin a new chapter of our Lenten theme, “The Way of the Cross</w:t>
      </w:r>
      <w:r w:rsidR="001C7CB2">
        <w:rPr>
          <w:rFonts w:ascii="Century Gothic" w:hAnsi="Century Gothic"/>
        </w:rPr>
        <w:t>,</w:t>
      </w:r>
      <w:r w:rsidR="0031471F">
        <w:rPr>
          <w:rFonts w:ascii="Century Gothic" w:hAnsi="Century Gothic"/>
        </w:rPr>
        <w:t>” as we look at a different part of Jesus’ jou</w:t>
      </w:r>
      <w:r w:rsidR="00F90178">
        <w:rPr>
          <w:rFonts w:ascii="Century Gothic" w:hAnsi="Century Gothic"/>
        </w:rPr>
        <w:t>rney in “The Way to Jerusalem.”</w:t>
      </w:r>
      <w:r w:rsidR="00705197">
        <w:rPr>
          <w:rFonts w:ascii="Century Gothic" w:hAnsi="Century Gothic"/>
        </w:rPr>
        <w:t xml:space="preserve">  Jesus’ </w:t>
      </w:r>
      <w:r w:rsidR="001C7CB2">
        <w:rPr>
          <w:rFonts w:ascii="Century Gothic" w:hAnsi="Century Gothic"/>
        </w:rPr>
        <w:t xml:space="preserve">final </w:t>
      </w:r>
      <w:r w:rsidR="00705197">
        <w:rPr>
          <w:rFonts w:ascii="Century Gothic" w:hAnsi="Century Gothic"/>
        </w:rPr>
        <w:t xml:space="preserve">journey to Jerusalem was a turning point in His life and ministry, but it was not a trip that was out of the ordinary for a Jew of His day to make.  </w:t>
      </w:r>
    </w:p>
    <w:p w:rsidR="00705197" w:rsidRDefault="00705197" w:rsidP="00705197">
      <w:pPr>
        <w:tabs>
          <w:tab w:val="left" w:pos="2880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r w:rsidR="00F90178">
        <w:rPr>
          <w:rFonts w:ascii="Century Gothic" w:hAnsi="Century Gothic"/>
        </w:rPr>
        <w:t>Psalms 120-134 are refe</w:t>
      </w:r>
      <w:r>
        <w:rPr>
          <w:rFonts w:ascii="Century Gothic" w:hAnsi="Century Gothic"/>
        </w:rPr>
        <w:t>rred to as the “Song of Ascents,</w:t>
      </w:r>
      <w:r w:rsidR="00F90178">
        <w:rPr>
          <w:rFonts w:ascii="Century Gothic" w:hAnsi="Century Gothic"/>
        </w:rPr>
        <w:t>”</w:t>
      </w:r>
      <w:r>
        <w:rPr>
          <w:rFonts w:ascii="Century Gothic" w:hAnsi="Century Gothic"/>
        </w:rPr>
        <w:t xml:space="preserve"> because they</w:t>
      </w:r>
      <w:r w:rsidR="00617969">
        <w:rPr>
          <w:rFonts w:ascii="Century Gothic" w:hAnsi="Century Gothic"/>
        </w:rPr>
        <w:t xml:space="preserve"> refer to the Psalms</w:t>
      </w:r>
      <w:r>
        <w:rPr>
          <w:rFonts w:ascii="Century Gothic" w:hAnsi="Century Gothic"/>
        </w:rPr>
        <w:t xml:space="preserve"> sung by Jewish pilgrims making the journey from their hometown</w:t>
      </w:r>
      <w:r w:rsidR="001C7CB2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to the hills and mountains surrounding Jerusalem.</w:t>
      </w:r>
      <w:r w:rsidR="00F9017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In the First Century, Jews living outside of Jerusalem were expected t</w:t>
      </w:r>
      <w:r w:rsidR="001C7CB2">
        <w:rPr>
          <w:rFonts w:ascii="Century Gothic" w:hAnsi="Century Gothic"/>
        </w:rPr>
        <w:t>o make this journey</w:t>
      </w:r>
      <w:r>
        <w:rPr>
          <w:rFonts w:ascii="Century Gothic" w:hAnsi="Century Gothic"/>
        </w:rPr>
        <w:t xml:space="preserve"> for the three feasts (Feast of Tabernacles, Feast of Weeks, and Passover) commanded by God in Deuteronomy 16:16.  Jesus was not from Jerusalem and neither were His disciples</w:t>
      </w:r>
      <w:r w:rsidR="00617969">
        <w:rPr>
          <w:rFonts w:ascii="Century Gothic" w:hAnsi="Century Gothic"/>
        </w:rPr>
        <w:t>, and so they</w:t>
      </w:r>
      <w:r>
        <w:rPr>
          <w:rFonts w:ascii="Century Gothic" w:hAnsi="Century Gothic"/>
        </w:rPr>
        <w:t xml:space="preserve"> traveled to Jeru</w:t>
      </w:r>
      <w:r w:rsidR="00617969">
        <w:rPr>
          <w:rFonts w:ascii="Century Gothic" w:hAnsi="Century Gothic"/>
        </w:rPr>
        <w:t>salem to celebrate the feasts.</w:t>
      </w:r>
      <w:r w:rsidR="007958AF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More than likely, these Psalms would have been on Jesus’ and His </w:t>
      </w:r>
      <w:r w:rsidR="00AF5139">
        <w:rPr>
          <w:rFonts w:ascii="Century Gothic" w:hAnsi="Century Gothic"/>
        </w:rPr>
        <w:t>disciple’s</w:t>
      </w:r>
      <w:r>
        <w:rPr>
          <w:rFonts w:ascii="Century Gothic" w:hAnsi="Century Gothic"/>
        </w:rPr>
        <w:t xml:space="preserve"> lips as they were ascending the hills </w:t>
      </w:r>
      <w:r w:rsidR="001C7CB2">
        <w:rPr>
          <w:rFonts w:ascii="Century Gothic" w:hAnsi="Century Gothic"/>
        </w:rPr>
        <w:t>of</w:t>
      </w:r>
      <w:r w:rsidR="007958AF">
        <w:rPr>
          <w:rFonts w:ascii="Century Gothic" w:hAnsi="Century Gothic"/>
        </w:rPr>
        <w:t xml:space="preserve"> Jerusalem to celebrate the feast of Passover for the last time</w:t>
      </w:r>
      <w:r>
        <w:rPr>
          <w:rFonts w:ascii="Century Gothic" w:hAnsi="Century Gothic"/>
        </w:rPr>
        <w:t>.</w:t>
      </w:r>
    </w:p>
    <w:p w:rsidR="00705197" w:rsidRDefault="0035035A" w:rsidP="00705197">
      <w:pPr>
        <w:tabs>
          <w:tab w:val="left" w:pos="2880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As we start our “Way to Jerusalem</w:t>
      </w:r>
      <w:r w:rsidR="00705197">
        <w:rPr>
          <w:rFonts w:ascii="Century Gothic" w:hAnsi="Century Gothic"/>
        </w:rPr>
        <w:t>”</w:t>
      </w:r>
      <w:r>
        <w:rPr>
          <w:rFonts w:ascii="Century Gothic" w:hAnsi="Century Gothic"/>
        </w:rPr>
        <w:t xml:space="preserve"> this week,</w:t>
      </w:r>
      <w:r w:rsidR="00420EF4">
        <w:rPr>
          <w:rFonts w:ascii="Century Gothic" w:hAnsi="Century Gothic"/>
        </w:rPr>
        <w:t xml:space="preserve"> begin by reading and praying</w:t>
      </w:r>
      <w:r w:rsidR="00617969">
        <w:rPr>
          <w:rFonts w:ascii="Century Gothic" w:hAnsi="Century Gothic"/>
        </w:rPr>
        <w:t xml:space="preserve"> Psalm 121,</w:t>
      </w:r>
      <w:r w:rsidR="00420EF4">
        <w:rPr>
          <w:rFonts w:ascii="Century Gothic" w:hAnsi="Century Gothic"/>
        </w:rPr>
        <w:t xml:space="preserve"> </w:t>
      </w:r>
      <w:r w:rsidR="00AF5139">
        <w:rPr>
          <w:rFonts w:ascii="Century Gothic" w:hAnsi="Century Gothic"/>
        </w:rPr>
        <w:t xml:space="preserve">one of </w:t>
      </w:r>
      <w:r w:rsidR="00705197">
        <w:rPr>
          <w:rFonts w:ascii="Century Gothic" w:hAnsi="Century Gothic"/>
        </w:rPr>
        <w:t xml:space="preserve">the same Psalms Jesus would have on His </w:t>
      </w:r>
      <w:r w:rsidR="00AF5139">
        <w:rPr>
          <w:rFonts w:ascii="Century Gothic" w:hAnsi="Century Gothic"/>
        </w:rPr>
        <w:t>“Way to Jerusalem</w:t>
      </w:r>
      <w:r w:rsidR="00705197">
        <w:rPr>
          <w:rFonts w:ascii="Century Gothic" w:hAnsi="Century Gothic"/>
        </w:rPr>
        <w:t>.</w:t>
      </w:r>
      <w:r w:rsidR="00AF5139">
        <w:rPr>
          <w:rFonts w:ascii="Century Gothic" w:hAnsi="Century Gothic"/>
        </w:rPr>
        <w:t>”  After you finish reading</w:t>
      </w:r>
      <w:r w:rsidR="007958AF">
        <w:rPr>
          <w:rFonts w:ascii="Century Gothic" w:hAnsi="Century Gothic"/>
        </w:rPr>
        <w:t xml:space="preserve"> and praying,</w:t>
      </w:r>
      <w:r w:rsidR="00617969">
        <w:rPr>
          <w:rFonts w:ascii="Century Gothic" w:hAnsi="Century Gothic"/>
        </w:rPr>
        <w:t xml:space="preserve"> </w:t>
      </w:r>
      <w:r w:rsidR="00AF5139">
        <w:rPr>
          <w:rFonts w:ascii="Century Gothic" w:hAnsi="Century Gothic"/>
        </w:rPr>
        <w:t xml:space="preserve">take the time </w:t>
      </w:r>
      <w:r w:rsidR="007958AF">
        <w:rPr>
          <w:rFonts w:ascii="Century Gothic" w:hAnsi="Century Gothic"/>
        </w:rPr>
        <w:t>to</w:t>
      </w:r>
      <w:r w:rsidR="001060C4">
        <w:rPr>
          <w:rFonts w:ascii="Century Gothic" w:hAnsi="Century Gothic"/>
        </w:rPr>
        <w:t xml:space="preserve"> read</w:t>
      </w:r>
      <w:r w:rsidR="00420EF4">
        <w:rPr>
          <w:rFonts w:ascii="Century Gothic" w:hAnsi="Century Gothic"/>
        </w:rPr>
        <w:t xml:space="preserve"> and pray</w:t>
      </w:r>
      <w:r w:rsidR="001060C4">
        <w:rPr>
          <w:rFonts w:ascii="Century Gothic" w:hAnsi="Century Gothic"/>
        </w:rPr>
        <w:t xml:space="preserve"> through the other “Songs of Ascents</w:t>
      </w:r>
      <w:r w:rsidR="00AF5139">
        <w:rPr>
          <w:rFonts w:ascii="Century Gothic" w:hAnsi="Century Gothic"/>
        </w:rPr>
        <w:t>”</w:t>
      </w:r>
      <w:r w:rsidR="001060C4">
        <w:rPr>
          <w:rFonts w:ascii="Century Gothic" w:hAnsi="Century Gothic"/>
        </w:rPr>
        <w:t xml:space="preserve"> (Psalms 120-134).</w:t>
      </w:r>
    </w:p>
    <w:p w:rsidR="00AF5139" w:rsidRDefault="00AF5139" w:rsidP="007958AF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Cs/>
          <w:i/>
          <w:szCs w:val="32"/>
          <w:u w:val="single"/>
        </w:rPr>
      </w:pPr>
      <w:r>
        <w:rPr>
          <w:rFonts w:ascii="Century Gothic" w:hAnsi="Century Gothic" w:cs="Arial"/>
          <w:bCs/>
          <w:i/>
          <w:szCs w:val="32"/>
          <w:u w:val="single"/>
        </w:rPr>
        <w:t>Psalm 121</w:t>
      </w:r>
    </w:p>
    <w:p w:rsidR="00AF5139" w:rsidRPr="00AF5139" w:rsidRDefault="00AF5139" w:rsidP="00AF5139">
      <w:pPr>
        <w:widowControl w:val="0"/>
        <w:autoSpaceDE w:val="0"/>
        <w:autoSpaceDN w:val="0"/>
        <w:adjustRightInd w:val="0"/>
        <w:spacing w:after="0" w:line="420" w:lineRule="atLeast"/>
        <w:ind w:left="500"/>
        <w:jc w:val="center"/>
        <w:rPr>
          <w:rFonts w:ascii="Century Gothic" w:hAnsi="Century Gothic" w:cs="Arial"/>
          <w:color w:val="09131F"/>
          <w:szCs w:val="30"/>
        </w:rPr>
      </w:pPr>
      <w:r w:rsidRPr="00AF5139">
        <w:rPr>
          <w:rFonts w:ascii="Century Gothic" w:hAnsi="Century Gothic" w:cs="Arial"/>
          <w:color w:val="09131F"/>
          <w:szCs w:val="30"/>
        </w:rPr>
        <w:t>I lift up my eyes to the hills—</w:t>
      </w:r>
    </w:p>
    <w:p w:rsidR="00AF5139" w:rsidRPr="00AF5139" w:rsidRDefault="00AF5139" w:rsidP="00AF5139">
      <w:pPr>
        <w:widowControl w:val="0"/>
        <w:autoSpaceDE w:val="0"/>
        <w:autoSpaceDN w:val="0"/>
        <w:adjustRightInd w:val="0"/>
        <w:spacing w:after="0"/>
        <w:ind w:left="1200"/>
        <w:jc w:val="center"/>
        <w:rPr>
          <w:rFonts w:ascii="Century Gothic" w:hAnsi="Century Gothic" w:cs="Arial"/>
          <w:color w:val="09131F"/>
          <w:szCs w:val="30"/>
        </w:rPr>
      </w:pPr>
      <w:proofErr w:type="gramStart"/>
      <w:r w:rsidRPr="00AF5139">
        <w:rPr>
          <w:rFonts w:ascii="Century Gothic" w:hAnsi="Century Gothic" w:cs="Arial"/>
          <w:color w:val="09131F"/>
          <w:szCs w:val="30"/>
        </w:rPr>
        <w:t>where</w:t>
      </w:r>
      <w:proofErr w:type="gramEnd"/>
      <w:r w:rsidRPr="00AF5139">
        <w:rPr>
          <w:rFonts w:ascii="Century Gothic" w:hAnsi="Century Gothic" w:cs="Arial"/>
          <w:color w:val="09131F"/>
          <w:szCs w:val="30"/>
        </w:rPr>
        <w:t xml:space="preserve"> does my help come from?</w:t>
      </w:r>
    </w:p>
    <w:p w:rsidR="00AF5139" w:rsidRPr="00AF5139" w:rsidRDefault="00AF5139" w:rsidP="00420EF4">
      <w:pPr>
        <w:widowControl w:val="0"/>
        <w:autoSpaceDE w:val="0"/>
        <w:autoSpaceDN w:val="0"/>
        <w:adjustRightInd w:val="0"/>
        <w:spacing w:after="0" w:line="280" w:lineRule="atLeast"/>
        <w:ind w:left="500"/>
        <w:jc w:val="center"/>
        <w:rPr>
          <w:rFonts w:ascii="Century Gothic" w:hAnsi="Century Gothic" w:cs="Arial"/>
          <w:color w:val="09131F"/>
          <w:szCs w:val="30"/>
        </w:rPr>
      </w:pPr>
      <w:r w:rsidRPr="00AF5139">
        <w:rPr>
          <w:rFonts w:ascii="Century Gothic" w:hAnsi="Century Gothic" w:cs="Arial"/>
          <w:color w:val="09131F"/>
          <w:szCs w:val="30"/>
        </w:rPr>
        <w:t xml:space="preserve">My help comes from the </w:t>
      </w:r>
      <w:r w:rsidRPr="00AF5139">
        <w:rPr>
          <w:rFonts w:ascii="Century Gothic" w:hAnsi="Century Gothic" w:cs="Arial"/>
          <w:color w:val="09131F"/>
          <w:szCs w:val="26"/>
        </w:rPr>
        <w:t>LORD,</w:t>
      </w:r>
      <w:r w:rsidR="00420EF4">
        <w:rPr>
          <w:rFonts w:ascii="Century Gothic" w:hAnsi="Century Gothic" w:cs="Arial"/>
          <w:color w:val="09131F"/>
          <w:szCs w:val="30"/>
        </w:rPr>
        <w:t xml:space="preserve"> </w:t>
      </w:r>
      <w:r w:rsidRPr="00AF5139">
        <w:rPr>
          <w:rFonts w:ascii="Century Gothic" w:hAnsi="Century Gothic" w:cs="Arial"/>
          <w:color w:val="09131F"/>
          <w:szCs w:val="30"/>
        </w:rPr>
        <w:t>the Maker of heaven and earth.</w:t>
      </w:r>
    </w:p>
    <w:p w:rsidR="00AF5139" w:rsidRPr="00AF5139" w:rsidRDefault="00AF5139" w:rsidP="00AF5139">
      <w:pPr>
        <w:widowControl w:val="0"/>
        <w:autoSpaceDE w:val="0"/>
        <w:autoSpaceDN w:val="0"/>
        <w:adjustRightInd w:val="0"/>
        <w:spacing w:after="0" w:line="280" w:lineRule="atLeast"/>
        <w:ind w:left="500"/>
        <w:jc w:val="center"/>
        <w:rPr>
          <w:rFonts w:ascii="Century Gothic" w:hAnsi="Century Gothic" w:cs="Arial"/>
          <w:color w:val="09131F"/>
          <w:szCs w:val="30"/>
        </w:rPr>
      </w:pPr>
      <w:r w:rsidRPr="00AF5139">
        <w:rPr>
          <w:rFonts w:ascii="Century Gothic" w:hAnsi="Century Gothic" w:cs="Arial"/>
          <w:color w:val="09131F"/>
          <w:szCs w:val="30"/>
        </w:rPr>
        <w:t>He will not let your foot slip—</w:t>
      </w:r>
    </w:p>
    <w:p w:rsidR="00AF5139" w:rsidRPr="00AF5139" w:rsidRDefault="00AF5139" w:rsidP="00AF5139">
      <w:pPr>
        <w:widowControl w:val="0"/>
        <w:autoSpaceDE w:val="0"/>
        <w:autoSpaceDN w:val="0"/>
        <w:adjustRightInd w:val="0"/>
        <w:spacing w:after="0"/>
        <w:ind w:left="1200"/>
        <w:jc w:val="center"/>
        <w:rPr>
          <w:rFonts w:ascii="Century Gothic" w:hAnsi="Century Gothic" w:cs="Arial"/>
          <w:color w:val="09131F"/>
          <w:szCs w:val="30"/>
        </w:rPr>
      </w:pPr>
      <w:proofErr w:type="gramStart"/>
      <w:r w:rsidRPr="00AF5139">
        <w:rPr>
          <w:rFonts w:ascii="Century Gothic" w:hAnsi="Century Gothic" w:cs="Arial"/>
          <w:color w:val="09131F"/>
          <w:szCs w:val="30"/>
        </w:rPr>
        <w:t>he</w:t>
      </w:r>
      <w:proofErr w:type="gramEnd"/>
      <w:r w:rsidRPr="00AF5139">
        <w:rPr>
          <w:rFonts w:ascii="Century Gothic" w:hAnsi="Century Gothic" w:cs="Arial"/>
          <w:color w:val="09131F"/>
          <w:szCs w:val="30"/>
        </w:rPr>
        <w:t xml:space="preserve"> who watches over you will not slumber;</w:t>
      </w:r>
    </w:p>
    <w:p w:rsidR="007958AF" w:rsidRDefault="00AF5139" w:rsidP="007958AF">
      <w:pPr>
        <w:widowControl w:val="0"/>
        <w:autoSpaceDE w:val="0"/>
        <w:autoSpaceDN w:val="0"/>
        <w:adjustRightInd w:val="0"/>
        <w:spacing w:after="0" w:line="280" w:lineRule="atLeast"/>
        <w:ind w:left="500"/>
        <w:jc w:val="center"/>
        <w:rPr>
          <w:rFonts w:ascii="Century Gothic" w:hAnsi="Century Gothic" w:cs="Arial"/>
          <w:color w:val="09131F"/>
          <w:szCs w:val="30"/>
        </w:rPr>
      </w:pPr>
      <w:proofErr w:type="gramStart"/>
      <w:r w:rsidRPr="00AF5139">
        <w:rPr>
          <w:rFonts w:ascii="Century Gothic" w:hAnsi="Century Gothic" w:cs="Arial"/>
          <w:color w:val="09131F"/>
          <w:szCs w:val="30"/>
        </w:rPr>
        <w:t>indeed</w:t>
      </w:r>
      <w:proofErr w:type="gramEnd"/>
      <w:r w:rsidRPr="00AF5139">
        <w:rPr>
          <w:rFonts w:ascii="Century Gothic" w:hAnsi="Century Gothic" w:cs="Arial"/>
          <w:color w:val="09131F"/>
          <w:szCs w:val="30"/>
        </w:rPr>
        <w:t>, he who watches over Israel</w:t>
      </w:r>
      <w:r w:rsidR="007958AF">
        <w:rPr>
          <w:rFonts w:ascii="Century Gothic" w:hAnsi="Century Gothic" w:cs="Arial"/>
          <w:color w:val="09131F"/>
          <w:szCs w:val="30"/>
        </w:rPr>
        <w:t xml:space="preserve"> </w:t>
      </w:r>
    </w:p>
    <w:p w:rsidR="00AF5139" w:rsidRPr="00AF5139" w:rsidRDefault="00AF5139" w:rsidP="007958AF">
      <w:pPr>
        <w:widowControl w:val="0"/>
        <w:autoSpaceDE w:val="0"/>
        <w:autoSpaceDN w:val="0"/>
        <w:adjustRightInd w:val="0"/>
        <w:spacing w:after="0" w:line="280" w:lineRule="atLeast"/>
        <w:ind w:left="500"/>
        <w:jc w:val="center"/>
        <w:rPr>
          <w:rFonts w:ascii="Century Gothic" w:hAnsi="Century Gothic" w:cs="Arial"/>
          <w:color w:val="09131F"/>
          <w:szCs w:val="30"/>
        </w:rPr>
      </w:pPr>
      <w:proofErr w:type="gramStart"/>
      <w:r w:rsidRPr="00AF5139">
        <w:rPr>
          <w:rFonts w:ascii="Century Gothic" w:hAnsi="Century Gothic" w:cs="Arial"/>
          <w:color w:val="09131F"/>
          <w:szCs w:val="30"/>
        </w:rPr>
        <w:t>will</w:t>
      </w:r>
      <w:proofErr w:type="gramEnd"/>
      <w:r w:rsidRPr="00AF5139">
        <w:rPr>
          <w:rFonts w:ascii="Century Gothic" w:hAnsi="Century Gothic" w:cs="Arial"/>
          <w:color w:val="09131F"/>
          <w:szCs w:val="30"/>
        </w:rPr>
        <w:t xml:space="preserve"> neither slumber nor sleep.</w:t>
      </w:r>
    </w:p>
    <w:p w:rsidR="00AF5139" w:rsidRPr="00AF5139" w:rsidRDefault="00AF5139" w:rsidP="00AF5139">
      <w:pPr>
        <w:widowControl w:val="0"/>
        <w:autoSpaceDE w:val="0"/>
        <w:autoSpaceDN w:val="0"/>
        <w:adjustRightInd w:val="0"/>
        <w:spacing w:after="0" w:line="280" w:lineRule="atLeast"/>
        <w:ind w:left="500"/>
        <w:jc w:val="center"/>
        <w:rPr>
          <w:rFonts w:ascii="Century Gothic" w:hAnsi="Century Gothic" w:cs="Arial"/>
          <w:color w:val="09131F"/>
          <w:szCs w:val="30"/>
        </w:rPr>
      </w:pPr>
      <w:r w:rsidRPr="00AF5139">
        <w:rPr>
          <w:rFonts w:ascii="Century Gothic" w:hAnsi="Century Gothic" w:cs="Arial"/>
          <w:color w:val="09131F"/>
          <w:szCs w:val="30"/>
        </w:rPr>
        <w:t xml:space="preserve">The </w:t>
      </w:r>
      <w:r w:rsidRPr="00AF5139">
        <w:rPr>
          <w:rFonts w:ascii="Century Gothic" w:hAnsi="Century Gothic" w:cs="Arial"/>
          <w:color w:val="09131F"/>
          <w:szCs w:val="26"/>
        </w:rPr>
        <w:t>LORD</w:t>
      </w:r>
      <w:r w:rsidRPr="00AF5139">
        <w:rPr>
          <w:rFonts w:ascii="Century Gothic" w:hAnsi="Century Gothic" w:cs="Arial"/>
          <w:color w:val="09131F"/>
          <w:szCs w:val="30"/>
        </w:rPr>
        <w:t xml:space="preserve"> watches over you—</w:t>
      </w:r>
    </w:p>
    <w:p w:rsidR="00AF5139" w:rsidRPr="00AF5139" w:rsidRDefault="00AF5139" w:rsidP="00AF5139">
      <w:pPr>
        <w:widowControl w:val="0"/>
        <w:autoSpaceDE w:val="0"/>
        <w:autoSpaceDN w:val="0"/>
        <w:adjustRightInd w:val="0"/>
        <w:spacing w:after="0"/>
        <w:ind w:left="1200"/>
        <w:jc w:val="center"/>
        <w:rPr>
          <w:rFonts w:ascii="Century Gothic" w:hAnsi="Century Gothic" w:cs="Arial"/>
          <w:color w:val="09131F"/>
          <w:szCs w:val="30"/>
        </w:rPr>
      </w:pPr>
      <w:proofErr w:type="gramStart"/>
      <w:r w:rsidRPr="00AF5139">
        <w:rPr>
          <w:rFonts w:ascii="Century Gothic" w:hAnsi="Century Gothic" w:cs="Arial"/>
          <w:color w:val="09131F"/>
          <w:szCs w:val="30"/>
        </w:rPr>
        <w:t>the</w:t>
      </w:r>
      <w:proofErr w:type="gramEnd"/>
      <w:r w:rsidRPr="00AF5139">
        <w:rPr>
          <w:rFonts w:ascii="Century Gothic" w:hAnsi="Century Gothic" w:cs="Arial"/>
          <w:color w:val="09131F"/>
          <w:szCs w:val="30"/>
        </w:rPr>
        <w:t xml:space="preserve"> </w:t>
      </w:r>
      <w:r w:rsidRPr="00AF5139">
        <w:rPr>
          <w:rFonts w:ascii="Century Gothic" w:hAnsi="Century Gothic" w:cs="Arial"/>
          <w:color w:val="09131F"/>
          <w:szCs w:val="26"/>
        </w:rPr>
        <w:t>LORD</w:t>
      </w:r>
      <w:r w:rsidRPr="00AF5139">
        <w:rPr>
          <w:rFonts w:ascii="Century Gothic" w:hAnsi="Century Gothic" w:cs="Arial"/>
          <w:color w:val="09131F"/>
          <w:szCs w:val="30"/>
        </w:rPr>
        <w:t xml:space="preserve"> is your shade at your right hand;</w:t>
      </w:r>
    </w:p>
    <w:p w:rsidR="00AF5139" w:rsidRPr="00AF5139" w:rsidRDefault="00AF5139" w:rsidP="00AF5139">
      <w:pPr>
        <w:widowControl w:val="0"/>
        <w:autoSpaceDE w:val="0"/>
        <w:autoSpaceDN w:val="0"/>
        <w:adjustRightInd w:val="0"/>
        <w:spacing w:after="0" w:line="280" w:lineRule="atLeast"/>
        <w:ind w:left="500"/>
        <w:jc w:val="center"/>
        <w:rPr>
          <w:rFonts w:ascii="Century Gothic" w:hAnsi="Century Gothic" w:cs="Arial"/>
          <w:color w:val="09131F"/>
          <w:szCs w:val="30"/>
        </w:rPr>
      </w:pPr>
      <w:proofErr w:type="gramStart"/>
      <w:r w:rsidRPr="00AF5139">
        <w:rPr>
          <w:rFonts w:ascii="Century Gothic" w:hAnsi="Century Gothic" w:cs="Arial"/>
          <w:color w:val="09131F"/>
          <w:szCs w:val="30"/>
        </w:rPr>
        <w:t>the</w:t>
      </w:r>
      <w:proofErr w:type="gramEnd"/>
      <w:r w:rsidRPr="00AF5139">
        <w:rPr>
          <w:rFonts w:ascii="Century Gothic" w:hAnsi="Century Gothic" w:cs="Arial"/>
          <w:color w:val="09131F"/>
          <w:szCs w:val="30"/>
        </w:rPr>
        <w:t xml:space="preserve"> sun will not harm you by day,</w:t>
      </w:r>
      <w:r>
        <w:rPr>
          <w:rFonts w:ascii="Century Gothic" w:hAnsi="Century Gothic" w:cs="Arial"/>
          <w:color w:val="09131F"/>
          <w:szCs w:val="30"/>
        </w:rPr>
        <w:t xml:space="preserve"> </w:t>
      </w:r>
      <w:r w:rsidRPr="00AF5139">
        <w:rPr>
          <w:rFonts w:ascii="Century Gothic" w:hAnsi="Century Gothic" w:cs="Arial"/>
          <w:color w:val="09131F"/>
          <w:szCs w:val="30"/>
        </w:rPr>
        <w:t>nor the moon by night.</w:t>
      </w:r>
    </w:p>
    <w:p w:rsidR="00AF5139" w:rsidRPr="00AF5139" w:rsidRDefault="00AF5139" w:rsidP="00AF5139">
      <w:pPr>
        <w:widowControl w:val="0"/>
        <w:autoSpaceDE w:val="0"/>
        <w:autoSpaceDN w:val="0"/>
        <w:adjustRightInd w:val="0"/>
        <w:spacing w:after="0" w:line="280" w:lineRule="atLeast"/>
        <w:ind w:left="500"/>
        <w:jc w:val="center"/>
        <w:rPr>
          <w:rFonts w:ascii="Century Gothic" w:hAnsi="Century Gothic" w:cs="Arial"/>
          <w:color w:val="09131F"/>
          <w:szCs w:val="30"/>
        </w:rPr>
      </w:pPr>
      <w:r w:rsidRPr="00AF5139">
        <w:rPr>
          <w:rFonts w:ascii="Century Gothic" w:hAnsi="Century Gothic" w:cs="Arial"/>
          <w:color w:val="09131F"/>
          <w:szCs w:val="30"/>
        </w:rPr>
        <w:t xml:space="preserve">The </w:t>
      </w:r>
      <w:r w:rsidRPr="00AF5139">
        <w:rPr>
          <w:rFonts w:ascii="Century Gothic" w:hAnsi="Century Gothic" w:cs="Arial"/>
          <w:color w:val="09131F"/>
          <w:szCs w:val="26"/>
        </w:rPr>
        <w:t>LORD</w:t>
      </w:r>
      <w:r w:rsidRPr="00AF5139">
        <w:rPr>
          <w:rFonts w:ascii="Century Gothic" w:hAnsi="Century Gothic" w:cs="Arial"/>
          <w:color w:val="09131F"/>
          <w:szCs w:val="30"/>
        </w:rPr>
        <w:t xml:space="preserve"> will keep you from all harm—</w:t>
      </w:r>
    </w:p>
    <w:p w:rsidR="00AF5139" w:rsidRPr="00AF5139" w:rsidRDefault="00AF5139" w:rsidP="00AF5139">
      <w:pPr>
        <w:widowControl w:val="0"/>
        <w:autoSpaceDE w:val="0"/>
        <w:autoSpaceDN w:val="0"/>
        <w:adjustRightInd w:val="0"/>
        <w:spacing w:after="0"/>
        <w:ind w:left="1200"/>
        <w:jc w:val="center"/>
        <w:rPr>
          <w:rFonts w:ascii="Century Gothic" w:hAnsi="Century Gothic" w:cs="Arial"/>
          <w:color w:val="09131F"/>
          <w:szCs w:val="30"/>
        </w:rPr>
      </w:pPr>
      <w:proofErr w:type="gramStart"/>
      <w:r w:rsidRPr="00AF5139">
        <w:rPr>
          <w:rFonts w:ascii="Century Gothic" w:hAnsi="Century Gothic" w:cs="Arial"/>
          <w:color w:val="09131F"/>
          <w:szCs w:val="30"/>
        </w:rPr>
        <w:t>he</w:t>
      </w:r>
      <w:proofErr w:type="gramEnd"/>
      <w:r w:rsidRPr="00AF5139">
        <w:rPr>
          <w:rFonts w:ascii="Century Gothic" w:hAnsi="Century Gothic" w:cs="Arial"/>
          <w:color w:val="09131F"/>
          <w:szCs w:val="30"/>
        </w:rPr>
        <w:t xml:space="preserve"> will watch over your life;</w:t>
      </w:r>
    </w:p>
    <w:p w:rsidR="00AF5139" w:rsidRPr="00AF5139" w:rsidRDefault="00AF5139" w:rsidP="00AF5139">
      <w:pPr>
        <w:widowControl w:val="0"/>
        <w:autoSpaceDE w:val="0"/>
        <w:autoSpaceDN w:val="0"/>
        <w:adjustRightInd w:val="0"/>
        <w:spacing w:after="0" w:line="280" w:lineRule="atLeast"/>
        <w:ind w:left="500"/>
        <w:jc w:val="center"/>
        <w:rPr>
          <w:rFonts w:ascii="Century Gothic" w:hAnsi="Century Gothic" w:cs="Arial"/>
          <w:color w:val="09131F"/>
          <w:szCs w:val="30"/>
        </w:rPr>
      </w:pPr>
      <w:proofErr w:type="gramStart"/>
      <w:r w:rsidRPr="00AF5139">
        <w:rPr>
          <w:rFonts w:ascii="Century Gothic" w:hAnsi="Century Gothic" w:cs="Arial"/>
          <w:color w:val="09131F"/>
          <w:szCs w:val="30"/>
        </w:rPr>
        <w:t>the</w:t>
      </w:r>
      <w:proofErr w:type="gramEnd"/>
      <w:r w:rsidRPr="00AF5139">
        <w:rPr>
          <w:rFonts w:ascii="Century Gothic" w:hAnsi="Century Gothic" w:cs="Arial"/>
          <w:color w:val="09131F"/>
          <w:szCs w:val="30"/>
        </w:rPr>
        <w:t xml:space="preserve"> </w:t>
      </w:r>
      <w:r w:rsidRPr="00AF5139">
        <w:rPr>
          <w:rFonts w:ascii="Century Gothic" w:hAnsi="Century Gothic" w:cs="Arial"/>
          <w:color w:val="09131F"/>
          <w:szCs w:val="26"/>
        </w:rPr>
        <w:t>LORD</w:t>
      </w:r>
      <w:r w:rsidRPr="00AF5139">
        <w:rPr>
          <w:rFonts w:ascii="Century Gothic" w:hAnsi="Century Gothic" w:cs="Arial"/>
          <w:color w:val="09131F"/>
          <w:szCs w:val="30"/>
        </w:rPr>
        <w:t xml:space="preserve"> will watch over your coming and going</w:t>
      </w:r>
    </w:p>
    <w:p w:rsidR="00957081" w:rsidRPr="007958AF" w:rsidRDefault="00AF5139" w:rsidP="007958AF">
      <w:pPr>
        <w:widowControl w:val="0"/>
        <w:autoSpaceDE w:val="0"/>
        <w:autoSpaceDN w:val="0"/>
        <w:adjustRightInd w:val="0"/>
        <w:spacing w:after="0"/>
        <w:ind w:left="1200"/>
        <w:jc w:val="center"/>
        <w:rPr>
          <w:rFonts w:ascii="Century Gothic" w:hAnsi="Century Gothic" w:cs="Arial"/>
          <w:color w:val="09131F"/>
          <w:szCs w:val="30"/>
        </w:rPr>
      </w:pPr>
      <w:proofErr w:type="gramStart"/>
      <w:r w:rsidRPr="00AF5139">
        <w:rPr>
          <w:rFonts w:ascii="Century Gothic" w:hAnsi="Century Gothic" w:cs="Arial"/>
          <w:color w:val="09131F"/>
          <w:szCs w:val="30"/>
        </w:rPr>
        <w:t>both</w:t>
      </w:r>
      <w:proofErr w:type="gramEnd"/>
      <w:r w:rsidRPr="00AF5139">
        <w:rPr>
          <w:rFonts w:ascii="Century Gothic" w:hAnsi="Century Gothic" w:cs="Arial"/>
          <w:color w:val="09131F"/>
          <w:szCs w:val="30"/>
        </w:rPr>
        <w:t xml:space="preserve"> now and forevermore.</w:t>
      </w:r>
    </w:p>
    <w:sectPr w:rsidR="00957081" w:rsidRPr="007958AF" w:rsidSect="00AF5139">
      <w:pgSz w:w="12240" w:h="15840"/>
      <w:pgMar w:top="1008" w:right="1008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57081"/>
    <w:rsid w:val="00054DAA"/>
    <w:rsid w:val="0007300F"/>
    <w:rsid w:val="0010412C"/>
    <w:rsid w:val="001060C4"/>
    <w:rsid w:val="001C7CB2"/>
    <w:rsid w:val="00270C34"/>
    <w:rsid w:val="0031471F"/>
    <w:rsid w:val="00336389"/>
    <w:rsid w:val="00347EB6"/>
    <w:rsid w:val="0035035A"/>
    <w:rsid w:val="00376174"/>
    <w:rsid w:val="0041499E"/>
    <w:rsid w:val="00420937"/>
    <w:rsid w:val="00420EF4"/>
    <w:rsid w:val="00567B46"/>
    <w:rsid w:val="005B6E45"/>
    <w:rsid w:val="00600B31"/>
    <w:rsid w:val="00617969"/>
    <w:rsid w:val="006B2323"/>
    <w:rsid w:val="00705197"/>
    <w:rsid w:val="007721AB"/>
    <w:rsid w:val="0078255D"/>
    <w:rsid w:val="007958AF"/>
    <w:rsid w:val="007E4619"/>
    <w:rsid w:val="00854DFB"/>
    <w:rsid w:val="00881374"/>
    <w:rsid w:val="00897414"/>
    <w:rsid w:val="008D00F6"/>
    <w:rsid w:val="00916484"/>
    <w:rsid w:val="009233C3"/>
    <w:rsid w:val="00926EE2"/>
    <w:rsid w:val="00957081"/>
    <w:rsid w:val="009D281F"/>
    <w:rsid w:val="009E4C01"/>
    <w:rsid w:val="00A37173"/>
    <w:rsid w:val="00AB437C"/>
    <w:rsid w:val="00AF5139"/>
    <w:rsid w:val="00B17AB9"/>
    <w:rsid w:val="00B83053"/>
    <w:rsid w:val="00CC7AF6"/>
    <w:rsid w:val="00CF2B12"/>
    <w:rsid w:val="00D408B1"/>
    <w:rsid w:val="00D959A0"/>
    <w:rsid w:val="00DD1A64"/>
    <w:rsid w:val="00DD5678"/>
    <w:rsid w:val="00E33009"/>
    <w:rsid w:val="00E5031B"/>
    <w:rsid w:val="00ED34DE"/>
    <w:rsid w:val="00F12EEA"/>
    <w:rsid w:val="00F90178"/>
  </w:rsids>
  <m:mathPr>
    <m:mathFont m:val="TekniaGree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16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1981</Characters>
  <Application>Microsoft Word 12.1.0</Application>
  <DocSecurity>0</DocSecurity>
  <Lines>16</Lines>
  <Paragraphs>3</Paragraphs>
  <ScaleCrop>false</ScaleCrop>
  <Company>University of Arizona</Company>
  <LinksUpToDate>false</LinksUpToDate>
  <CharactersWithSpaces>2432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Eleiott</dc:creator>
  <cp:keywords/>
  <cp:lastModifiedBy>Jonathan Eleiott</cp:lastModifiedBy>
  <cp:revision>2</cp:revision>
  <dcterms:created xsi:type="dcterms:W3CDTF">2012-05-07T14:39:00Z</dcterms:created>
  <dcterms:modified xsi:type="dcterms:W3CDTF">2012-05-07T14:39:00Z</dcterms:modified>
</cp:coreProperties>
</file>